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B2DEC" w14:textId="7424D09F" w:rsidR="00D55929" w:rsidRDefault="00106349" w:rsidP="00106349">
      <w:pPr>
        <w:pStyle w:val="a3"/>
        <w:tabs>
          <w:tab w:val="left" w:pos="1134"/>
          <w:tab w:val="left" w:pos="8647"/>
        </w:tabs>
        <w:spacing w:line="259" w:lineRule="auto"/>
        <w:ind w:left="1134" w:right="1983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59263" behindDoc="1" locked="0" layoutInCell="1" allowOverlap="0" wp14:anchorId="47939B68" wp14:editId="3FC54D3F">
            <wp:simplePos x="0" y="0"/>
            <wp:positionH relativeFrom="column">
              <wp:posOffset>-728345</wp:posOffset>
            </wp:positionH>
            <wp:positionV relativeFrom="paragraph">
              <wp:posOffset>-1047</wp:posOffset>
            </wp:positionV>
            <wp:extent cx="1259840" cy="3670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5984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6BB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5AE52B7" wp14:editId="43646B02">
            <wp:simplePos x="0" y="0"/>
            <wp:positionH relativeFrom="column">
              <wp:posOffset>4289425</wp:posOffset>
            </wp:positionH>
            <wp:positionV relativeFrom="paragraph">
              <wp:posOffset>-429483</wp:posOffset>
            </wp:positionV>
            <wp:extent cx="2628900" cy="510518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10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A808C" w14:textId="2E72C4F4" w:rsidR="006657E2" w:rsidRDefault="006657E2" w:rsidP="00BC446A">
      <w:pPr>
        <w:spacing w:after="0" w:line="240" w:lineRule="auto"/>
        <w:ind w:right="1843"/>
        <w:rPr>
          <w:rFonts w:ascii="Arial" w:hAnsi="Arial" w:cs="Arial"/>
          <w:noProof/>
          <w:color w:val="363194" w:themeColor="accent1"/>
          <w:sz w:val="32"/>
          <w:szCs w:val="32"/>
        </w:rPr>
      </w:pPr>
    </w:p>
    <w:p w14:paraId="4F502DF9" w14:textId="3E4903C1" w:rsidR="003C3163" w:rsidRDefault="00E97C28" w:rsidP="0085222E">
      <w:pPr>
        <w:tabs>
          <w:tab w:val="right" w:pos="1134"/>
        </w:tabs>
        <w:spacing w:after="0" w:line="240" w:lineRule="auto"/>
        <w:ind w:left="1134" w:right="1843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>ОБ ИНДЕКСЕ ЦЕН ПРОИЗВОДИТЕЛЕЙ ПРОМЫШЛЕННЫХ ТОВАРОВ</w:t>
      </w:r>
    </w:p>
    <w:p w14:paraId="161FEEAA" w14:textId="57D5ECC6" w:rsidR="00515E78" w:rsidRPr="002A1535" w:rsidRDefault="00691E0C" w:rsidP="0085222E">
      <w:pPr>
        <w:tabs>
          <w:tab w:val="right" w:pos="1134"/>
        </w:tabs>
        <w:spacing w:after="0" w:line="240" w:lineRule="auto"/>
        <w:ind w:left="1134" w:right="1843"/>
        <w:rPr>
          <w:rFonts w:ascii="Arial" w:eastAsia="Calibri" w:hAnsi="Arial" w:cs="Arial"/>
          <w:b/>
          <w:bCs/>
          <w:color w:val="363194"/>
          <w:vertAlign w:val="superscript"/>
        </w:rPr>
      </w:pPr>
      <w:r>
        <w:rPr>
          <w:rFonts w:ascii="Arial" w:hAnsi="Arial" w:cs="Arial"/>
          <w:noProof/>
          <w:color w:val="363194" w:themeColor="accent1"/>
        </w:rPr>
        <w:t>(на товары, предназначенные</w:t>
      </w:r>
      <w:r w:rsidR="00515E78" w:rsidRPr="002A1535">
        <w:rPr>
          <w:rFonts w:ascii="Arial" w:hAnsi="Arial" w:cs="Arial"/>
          <w:noProof/>
          <w:color w:val="363194" w:themeColor="accent1"/>
        </w:rPr>
        <w:t xml:space="preserve"> для реализации на внутреннем рынке)</w:t>
      </w:r>
    </w:p>
    <w:p w14:paraId="2E7753A7" w14:textId="77777777" w:rsidR="00515E78" w:rsidRDefault="00515E78" w:rsidP="0085222E">
      <w:pPr>
        <w:tabs>
          <w:tab w:val="right" w:pos="1134"/>
        </w:tabs>
        <w:spacing w:after="0" w:line="240" w:lineRule="auto"/>
        <w:ind w:left="1134" w:right="1843"/>
        <w:rPr>
          <w:rFonts w:ascii="Arial" w:eastAsia="Calibri" w:hAnsi="Arial" w:cs="Arial"/>
          <w:b/>
          <w:bCs/>
          <w:color w:val="363194"/>
          <w:sz w:val="26"/>
          <w:szCs w:val="26"/>
          <w:vertAlign w:val="superscript"/>
        </w:rPr>
      </w:pPr>
    </w:p>
    <w:p w14:paraId="76B05FDB" w14:textId="77777777" w:rsidR="003B1F17" w:rsidRDefault="003B1F17" w:rsidP="00E97C28">
      <w:pPr>
        <w:spacing w:after="0" w:line="240" w:lineRule="auto"/>
        <w:ind w:left="1134" w:right="1843"/>
        <w:rPr>
          <w:rFonts w:ascii="Arial" w:hAnsi="Arial" w:cs="Arial"/>
          <w:noProof/>
          <w:color w:val="363194" w:themeColor="accent1"/>
          <w:sz w:val="32"/>
          <w:szCs w:val="32"/>
        </w:rPr>
      </w:pPr>
    </w:p>
    <w:p w14:paraId="11C9E7EB" w14:textId="77777777" w:rsidR="00E97C28" w:rsidRDefault="00E97C28" w:rsidP="000246DE">
      <w:pPr>
        <w:spacing w:after="0" w:line="240" w:lineRule="auto"/>
        <w:ind w:left="1134" w:right="1843" w:firstLine="567"/>
        <w:rPr>
          <w:rFonts w:ascii="Arial" w:hAnsi="Arial" w:cs="Arial"/>
        </w:rPr>
      </w:pPr>
    </w:p>
    <w:p w14:paraId="20425E72" w14:textId="36E87825" w:rsidR="00D55929" w:rsidRPr="00237FBC" w:rsidRDefault="00D55929" w:rsidP="000246DE">
      <w:pPr>
        <w:tabs>
          <w:tab w:val="left" w:pos="851"/>
        </w:tabs>
        <w:ind w:firstLine="567"/>
        <w:jc w:val="both"/>
        <w:rPr>
          <w:rFonts w:ascii="Arial" w:hAnsi="Arial" w:cs="Arial"/>
          <w:color w:val="282A2E"/>
        </w:rPr>
      </w:pPr>
      <w:r w:rsidRPr="000E53F5">
        <w:rPr>
          <w:rFonts w:ascii="Arial" w:hAnsi="Arial" w:cs="Arial"/>
          <w:color w:val="282A2E"/>
        </w:rPr>
        <w:t xml:space="preserve">В </w:t>
      </w:r>
      <w:r w:rsidR="00EF73B3">
        <w:rPr>
          <w:rFonts w:ascii="Arial" w:hAnsi="Arial" w:cs="Arial"/>
          <w:color w:val="282A2E"/>
        </w:rPr>
        <w:t>ок</w:t>
      </w:r>
      <w:r w:rsidR="00691E0C">
        <w:rPr>
          <w:rFonts w:ascii="Arial" w:hAnsi="Arial" w:cs="Arial"/>
          <w:color w:val="282A2E"/>
        </w:rPr>
        <w:t>тябре</w:t>
      </w:r>
      <w:r w:rsidRPr="000E53F5">
        <w:rPr>
          <w:rFonts w:ascii="Arial" w:hAnsi="Arial" w:cs="Arial"/>
          <w:color w:val="282A2E"/>
        </w:rPr>
        <w:t xml:space="preserve"> 202</w:t>
      </w:r>
      <w:r w:rsidR="00D06E52">
        <w:rPr>
          <w:rFonts w:ascii="Arial" w:hAnsi="Arial" w:cs="Arial"/>
          <w:color w:val="282A2E"/>
        </w:rPr>
        <w:t>4</w:t>
      </w:r>
      <w:r w:rsidRPr="000E53F5">
        <w:rPr>
          <w:rFonts w:ascii="Arial" w:hAnsi="Arial" w:cs="Arial"/>
          <w:color w:val="282A2E"/>
        </w:rPr>
        <w:t xml:space="preserve"> года </w:t>
      </w:r>
      <w:r w:rsidR="00E97C28">
        <w:rPr>
          <w:rFonts w:ascii="Arial" w:hAnsi="Arial" w:cs="Arial"/>
          <w:color w:val="282A2E"/>
        </w:rPr>
        <w:t xml:space="preserve">по сравнению с </w:t>
      </w:r>
      <w:r w:rsidR="00EF73B3">
        <w:rPr>
          <w:rFonts w:ascii="Arial" w:hAnsi="Arial" w:cs="Arial"/>
          <w:color w:val="282A2E"/>
        </w:rPr>
        <w:t>сентябрем</w:t>
      </w:r>
      <w:r w:rsidR="00E97C28">
        <w:rPr>
          <w:rFonts w:ascii="Arial" w:hAnsi="Arial" w:cs="Arial"/>
          <w:color w:val="282A2E"/>
        </w:rPr>
        <w:t xml:space="preserve"> 202</w:t>
      </w:r>
      <w:r w:rsidR="00D06E52">
        <w:rPr>
          <w:rFonts w:ascii="Arial" w:hAnsi="Arial" w:cs="Arial"/>
          <w:color w:val="282A2E"/>
        </w:rPr>
        <w:t>4</w:t>
      </w:r>
      <w:r w:rsidR="00E97C28">
        <w:rPr>
          <w:rFonts w:ascii="Arial" w:hAnsi="Arial" w:cs="Arial"/>
          <w:color w:val="282A2E"/>
        </w:rPr>
        <w:t xml:space="preserve"> года индекс цен производителей промышленных товаров, по предварительным данным, составил </w:t>
      </w:r>
      <w:r w:rsidR="00B23C9E">
        <w:rPr>
          <w:rFonts w:ascii="Arial" w:hAnsi="Arial" w:cs="Arial"/>
          <w:color w:val="282A2E"/>
        </w:rPr>
        <w:t>10</w:t>
      </w:r>
      <w:r w:rsidR="00EF73B3">
        <w:rPr>
          <w:rFonts w:ascii="Arial" w:hAnsi="Arial" w:cs="Arial"/>
          <w:color w:val="282A2E"/>
        </w:rPr>
        <w:t>1</w:t>
      </w:r>
      <w:r w:rsidR="00B23C9E">
        <w:rPr>
          <w:rFonts w:ascii="Arial" w:hAnsi="Arial" w:cs="Arial"/>
          <w:color w:val="282A2E"/>
        </w:rPr>
        <w:t>,</w:t>
      </w:r>
      <w:r w:rsidR="00EF73B3">
        <w:rPr>
          <w:rFonts w:ascii="Arial" w:hAnsi="Arial" w:cs="Arial"/>
          <w:color w:val="282A2E"/>
        </w:rPr>
        <w:t>0</w:t>
      </w:r>
      <w:r w:rsidR="00E97C28">
        <w:rPr>
          <w:rFonts w:ascii="Arial" w:hAnsi="Arial" w:cs="Arial"/>
          <w:color w:val="282A2E"/>
        </w:rPr>
        <w:t>%.</w:t>
      </w:r>
    </w:p>
    <w:p w14:paraId="2EE64494" w14:textId="66FD9967" w:rsidR="0065389D" w:rsidRPr="00DD4D2E" w:rsidRDefault="00DE677D" w:rsidP="00DE677D">
      <w:pPr>
        <w:spacing w:after="60" w:line="240" w:lineRule="auto"/>
        <w:jc w:val="right"/>
        <w:rPr>
          <w:rFonts w:ascii="Arial" w:hAnsi="Arial" w:cs="Arial"/>
          <w:color w:val="282A2E"/>
          <w:sz w:val="18"/>
          <w:szCs w:val="18"/>
        </w:rPr>
      </w:pPr>
      <w:r w:rsidRPr="00DE677D">
        <w:rPr>
          <w:rFonts w:ascii="Arial" w:hAnsi="Arial" w:cs="Arial"/>
          <w:color w:val="282A2E"/>
          <w:sz w:val="18"/>
          <w:szCs w:val="18"/>
        </w:rPr>
        <w:t xml:space="preserve">на конец периода, </w:t>
      </w:r>
      <w:r w:rsidR="00DD4D2E">
        <w:rPr>
          <w:rFonts w:ascii="Arial" w:hAnsi="Arial" w:cs="Arial"/>
          <w:color w:val="282A2E"/>
          <w:sz w:val="18"/>
          <w:szCs w:val="18"/>
        </w:rPr>
        <w:t xml:space="preserve">в </w:t>
      </w:r>
      <w:r w:rsidR="00691E0C">
        <w:rPr>
          <w:rFonts w:ascii="Arial" w:hAnsi="Arial" w:cs="Arial"/>
          <w:color w:val="282A2E"/>
          <w:sz w:val="18"/>
          <w:szCs w:val="18"/>
        </w:rPr>
        <w:t>%</w:t>
      </w:r>
    </w:p>
    <w:tbl>
      <w:tblPr>
        <w:tblStyle w:val="a8"/>
        <w:tblW w:w="10632" w:type="dxa"/>
        <w:jc w:val="right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1111"/>
        <w:gridCol w:w="1121"/>
        <w:gridCol w:w="1121"/>
        <w:gridCol w:w="2388"/>
      </w:tblGrid>
      <w:tr w:rsidR="00227166" w:rsidRPr="0050523C" w14:paraId="102AD542" w14:textId="77777777" w:rsidTr="00B449DB">
        <w:trPr>
          <w:trHeight w:val="273"/>
          <w:jc w:val="right"/>
        </w:trPr>
        <w:tc>
          <w:tcPr>
            <w:tcW w:w="4891" w:type="dxa"/>
            <w:vMerge w:val="restart"/>
            <w:shd w:val="clear" w:color="auto" w:fill="EBEBEB"/>
          </w:tcPr>
          <w:p w14:paraId="54BE38F3" w14:textId="451A4934" w:rsidR="00F44E16" w:rsidRDefault="00F44E16" w:rsidP="007370BB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  <w:p w14:paraId="1C7739D7" w14:textId="77777777" w:rsidR="00227166" w:rsidRPr="00F44E16" w:rsidRDefault="00227166" w:rsidP="00F44E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3" w:type="dxa"/>
            <w:gridSpan w:val="3"/>
            <w:shd w:val="clear" w:color="auto" w:fill="EBEBEB"/>
            <w:vAlign w:val="center"/>
          </w:tcPr>
          <w:p w14:paraId="1DB621E3" w14:textId="4CC22758" w:rsidR="00227166" w:rsidRDefault="00EF73B3" w:rsidP="00F61F3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="00691E0C">
              <w:rPr>
                <w:rFonts w:ascii="Arial" w:hAnsi="Arial" w:cs="Arial"/>
                <w:color w:val="282A2E"/>
                <w:sz w:val="18"/>
                <w:szCs w:val="18"/>
              </w:rPr>
              <w:t>тябрь</w:t>
            </w:r>
            <w:r w:rsidR="009B0137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227166">
              <w:rPr>
                <w:rFonts w:ascii="Arial" w:hAnsi="Arial" w:cs="Arial"/>
                <w:color w:val="282A2E"/>
                <w:sz w:val="18"/>
                <w:szCs w:val="18"/>
              </w:rPr>
              <w:t>2024 г. к</w:t>
            </w:r>
          </w:p>
        </w:tc>
        <w:tc>
          <w:tcPr>
            <w:tcW w:w="2388" w:type="dxa"/>
            <w:vMerge w:val="restart"/>
            <w:shd w:val="clear" w:color="auto" w:fill="EBEBEB"/>
            <w:vAlign w:val="center"/>
          </w:tcPr>
          <w:p w14:paraId="0D39F047" w14:textId="5970F3C4" w:rsidR="00227166" w:rsidRPr="0050523C" w:rsidRDefault="00A106E7" w:rsidP="00EF73B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  <w:r w:rsidR="00331FC3" w:rsidRPr="00331FC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282A2E"/>
                  <w:sz w:val="18"/>
                  <w:szCs w:val="18"/>
                </w:rPr>
                <m:t>–</m:t>
              </m:r>
            </m:oMath>
            <w:r w:rsidR="00331FC3" w:rsidRPr="00331FC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EF73B3"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="00691E0C">
              <w:rPr>
                <w:rFonts w:ascii="Arial" w:hAnsi="Arial" w:cs="Arial"/>
                <w:color w:val="282A2E"/>
                <w:sz w:val="18"/>
                <w:szCs w:val="18"/>
              </w:rPr>
              <w:t>тябрь</w:t>
            </w:r>
            <w:r w:rsidR="00227166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 к </w:t>
            </w:r>
            <w:r w:rsidR="00313084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="00331FC3"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январю </w:t>
            </w:r>
            <m:oMath>
              <m:r>
                <w:rPr>
                  <w:rFonts w:ascii="Cambria Math" w:hAnsi="Cambria Math" w:cs="Arial"/>
                  <w:color w:val="282A2E"/>
                  <w:sz w:val="18"/>
                  <w:szCs w:val="18"/>
                </w:rPr>
                <m:t>–</m:t>
              </m:r>
            </m:oMath>
            <w:r w:rsidR="00331FC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EF73B3"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="00691E0C">
              <w:rPr>
                <w:rFonts w:ascii="Arial" w:hAnsi="Arial" w:cs="Arial"/>
                <w:color w:val="282A2E"/>
                <w:sz w:val="18"/>
                <w:szCs w:val="18"/>
              </w:rPr>
              <w:t>тябрю</w:t>
            </w:r>
            <w:r w:rsidR="0003153D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</w:t>
            </w:r>
            <w:r w:rsidR="00227166">
              <w:rPr>
                <w:rFonts w:ascii="Arial" w:hAnsi="Arial" w:cs="Arial"/>
                <w:color w:val="282A2E"/>
                <w:sz w:val="18"/>
                <w:szCs w:val="18"/>
              </w:rPr>
              <w:t>г.</w:t>
            </w:r>
          </w:p>
        </w:tc>
      </w:tr>
      <w:tr w:rsidR="00313084" w:rsidRPr="0050523C" w14:paraId="6701980D" w14:textId="77777777" w:rsidTr="00B449DB">
        <w:trPr>
          <w:trHeight w:val="562"/>
          <w:jc w:val="right"/>
        </w:trPr>
        <w:tc>
          <w:tcPr>
            <w:tcW w:w="4891" w:type="dxa"/>
            <w:vMerge/>
            <w:shd w:val="clear" w:color="auto" w:fill="EBEBEB"/>
          </w:tcPr>
          <w:p w14:paraId="0B7E967E" w14:textId="77777777" w:rsidR="00313084" w:rsidRPr="0050523C" w:rsidRDefault="00313084" w:rsidP="00313084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EBEBEB"/>
            <w:vAlign w:val="center"/>
          </w:tcPr>
          <w:p w14:paraId="2FAD46AC" w14:textId="2F033766" w:rsidR="00870592" w:rsidRDefault="00EF73B3" w:rsidP="0031308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</w:p>
          <w:p w14:paraId="126025D6" w14:textId="257CFBE5" w:rsidR="00313084" w:rsidRPr="0050523C" w:rsidRDefault="00313084" w:rsidP="0031308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1121" w:type="dxa"/>
            <w:shd w:val="clear" w:color="auto" w:fill="EBEBEB"/>
            <w:vAlign w:val="center"/>
          </w:tcPr>
          <w:p w14:paraId="0D982FDA" w14:textId="1E9CB755" w:rsidR="00313084" w:rsidRPr="0050523C" w:rsidRDefault="00313084" w:rsidP="0031308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121" w:type="dxa"/>
            <w:shd w:val="clear" w:color="auto" w:fill="EBEBEB"/>
            <w:vAlign w:val="center"/>
          </w:tcPr>
          <w:p w14:paraId="57EC0277" w14:textId="46A5C1F2" w:rsidR="00313084" w:rsidRPr="0050523C" w:rsidRDefault="00EF73B3" w:rsidP="00F61F3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="00691E0C">
              <w:rPr>
                <w:rFonts w:ascii="Arial" w:hAnsi="Arial" w:cs="Arial"/>
                <w:color w:val="282A2E"/>
                <w:sz w:val="18"/>
                <w:szCs w:val="18"/>
              </w:rPr>
              <w:t>тябрю</w:t>
            </w:r>
            <w:r w:rsidR="00A106E7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="00313084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  <w:tc>
          <w:tcPr>
            <w:tcW w:w="2388" w:type="dxa"/>
            <w:vMerge/>
            <w:shd w:val="clear" w:color="auto" w:fill="EBEBEB"/>
            <w:vAlign w:val="center"/>
          </w:tcPr>
          <w:p w14:paraId="50C54E23" w14:textId="6F3ED130" w:rsidR="00313084" w:rsidRPr="0050523C" w:rsidRDefault="00313084" w:rsidP="0031308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B449DB" w:rsidRPr="0050523C" w14:paraId="6C7EF158" w14:textId="77777777" w:rsidTr="00B449DB">
        <w:trPr>
          <w:jc w:val="right"/>
        </w:trPr>
        <w:tc>
          <w:tcPr>
            <w:tcW w:w="4891" w:type="dxa"/>
            <w:vAlign w:val="bottom"/>
          </w:tcPr>
          <w:p w14:paraId="43330FCD" w14:textId="7671630A" w:rsidR="00B449DB" w:rsidRPr="0050523C" w:rsidRDefault="00B449DB" w:rsidP="00B449DB">
            <w:pPr>
              <w:spacing w:before="12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Индекс цен производителей промышленных товаров</w:t>
            </w:r>
          </w:p>
        </w:tc>
        <w:tc>
          <w:tcPr>
            <w:tcW w:w="1111" w:type="dxa"/>
            <w:vAlign w:val="bottom"/>
          </w:tcPr>
          <w:p w14:paraId="18F20697" w14:textId="788BFDC1" w:rsidR="00B449DB" w:rsidRPr="000C5945" w:rsidRDefault="00B449DB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449DB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72A0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121" w:type="dxa"/>
            <w:vAlign w:val="bottom"/>
          </w:tcPr>
          <w:p w14:paraId="17F37D8A" w14:textId="3244178E" w:rsidR="00B449DB" w:rsidRPr="000C5945" w:rsidRDefault="00172A09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</w:t>
            </w:r>
            <w:r w:rsidR="00B449DB" w:rsidRPr="00B449DB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121" w:type="dxa"/>
            <w:vAlign w:val="bottom"/>
          </w:tcPr>
          <w:p w14:paraId="49CB089F" w14:textId="08731C42" w:rsidR="00B449DB" w:rsidRPr="000C5945" w:rsidRDefault="00172A09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 w:rsidR="00B449DB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2388" w:type="dxa"/>
            <w:vAlign w:val="bottom"/>
          </w:tcPr>
          <w:p w14:paraId="400F299C" w14:textId="1F8C0912" w:rsidR="00B449DB" w:rsidRPr="000C5945" w:rsidRDefault="00172A09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</w:t>
            </w:r>
            <w:r w:rsidR="00B449DB" w:rsidRPr="00B449DB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B449DB" w:rsidRPr="0050523C" w14:paraId="0EA52C4C" w14:textId="77777777" w:rsidTr="00B449DB">
        <w:trPr>
          <w:jc w:val="right"/>
        </w:trPr>
        <w:tc>
          <w:tcPr>
            <w:tcW w:w="4891" w:type="dxa"/>
            <w:vAlign w:val="bottom"/>
          </w:tcPr>
          <w:p w14:paraId="0FC36DE7" w14:textId="63D47010" w:rsidR="00B449DB" w:rsidRPr="0050523C" w:rsidRDefault="00B449DB" w:rsidP="00B449DB">
            <w:pPr>
              <w:spacing w:before="1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23C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111" w:type="dxa"/>
            <w:vAlign w:val="bottom"/>
          </w:tcPr>
          <w:p w14:paraId="575BE632" w14:textId="232200E5" w:rsidR="00B449DB" w:rsidRPr="000C5945" w:rsidRDefault="00172A09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</w:t>
            </w:r>
            <w:r w:rsidR="00B449DB" w:rsidRPr="00B449DB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121" w:type="dxa"/>
            <w:vAlign w:val="bottom"/>
          </w:tcPr>
          <w:p w14:paraId="7B9AFD9A" w14:textId="7FEECEDB" w:rsidR="00B449DB" w:rsidRPr="000C5945" w:rsidRDefault="00172A09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</w:t>
            </w:r>
            <w:r w:rsidR="00B449DB" w:rsidRPr="00666AB2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121" w:type="dxa"/>
            <w:vAlign w:val="bottom"/>
          </w:tcPr>
          <w:p w14:paraId="35FD4C0D" w14:textId="10503E2E" w:rsidR="00B449DB" w:rsidRPr="000C5945" w:rsidRDefault="00172A09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</w:t>
            </w:r>
            <w:r w:rsidR="00B449DB" w:rsidRPr="00666AB2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2388" w:type="dxa"/>
            <w:vAlign w:val="bottom"/>
          </w:tcPr>
          <w:p w14:paraId="03FFFD4D" w14:textId="01888245" w:rsidR="00B449DB" w:rsidRPr="000C5945" w:rsidRDefault="00172A09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</w:t>
            </w:r>
            <w:r w:rsidR="00B449DB" w:rsidRPr="00666AB2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B449DB" w:rsidRPr="0050523C" w14:paraId="25191316" w14:textId="77777777" w:rsidTr="00B449DB">
        <w:trPr>
          <w:jc w:val="right"/>
        </w:trPr>
        <w:tc>
          <w:tcPr>
            <w:tcW w:w="4891" w:type="dxa"/>
            <w:vAlign w:val="bottom"/>
          </w:tcPr>
          <w:p w14:paraId="7466AD4C" w14:textId="2B684537" w:rsidR="00B449DB" w:rsidRPr="0050523C" w:rsidRDefault="00B449DB" w:rsidP="00B449DB">
            <w:pPr>
              <w:spacing w:before="1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23C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111" w:type="dxa"/>
            <w:vAlign w:val="bottom"/>
          </w:tcPr>
          <w:p w14:paraId="22133013" w14:textId="75F401B4" w:rsidR="00B449DB" w:rsidRPr="000C5945" w:rsidRDefault="00172A09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</w:t>
            </w:r>
            <w:r w:rsidR="00B449DB" w:rsidRPr="00666AB2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121" w:type="dxa"/>
            <w:vAlign w:val="bottom"/>
          </w:tcPr>
          <w:p w14:paraId="55281F4B" w14:textId="34C40499" w:rsidR="00B449DB" w:rsidRPr="000C5945" w:rsidRDefault="00172A09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</w:t>
            </w:r>
            <w:r w:rsidR="00B449DB" w:rsidRPr="00666AB2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121" w:type="dxa"/>
            <w:vAlign w:val="bottom"/>
          </w:tcPr>
          <w:p w14:paraId="37E74F18" w14:textId="0F3ABFB2" w:rsidR="00B449DB" w:rsidRPr="000C5945" w:rsidRDefault="00172A09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 w:rsidR="00B449DB" w:rsidRPr="00666AB2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2388" w:type="dxa"/>
            <w:vAlign w:val="bottom"/>
          </w:tcPr>
          <w:p w14:paraId="7F456AA4" w14:textId="316D73AB" w:rsidR="00B449DB" w:rsidRPr="000C5945" w:rsidRDefault="00172A09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</w:t>
            </w:r>
            <w:r w:rsidR="00B449DB" w:rsidRPr="00666AB2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B449DB" w:rsidRPr="0050523C" w14:paraId="737AC5C0" w14:textId="77777777" w:rsidTr="00B449DB">
        <w:trPr>
          <w:jc w:val="right"/>
        </w:trPr>
        <w:tc>
          <w:tcPr>
            <w:tcW w:w="4891" w:type="dxa"/>
            <w:vAlign w:val="bottom"/>
          </w:tcPr>
          <w:p w14:paraId="06781C91" w14:textId="1B6B505B" w:rsidR="00B449DB" w:rsidRPr="0050523C" w:rsidRDefault="00B449DB" w:rsidP="00B449DB">
            <w:pPr>
              <w:tabs>
                <w:tab w:val="left" w:pos="1161"/>
              </w:tabs>
              <w:spacing w:before="1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677D"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1" w:type="dxa"/>
            <w:vAlign w:val="bottom"/>
          </w:tcPr>
          <w:p w14:paraId="48EC99ED" w14:textId="3CB8CEFD" w:rsidR="00B449DB" w:rsidRPr="000C5945" w:rsidRDefault="00172A09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</w:t>
            </w:r>
            <w:r w:rsidR="00B449DB" w:rsidRPr="00666AB2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121" w:type="dxa"/>
            <w:vAlign w:val="bottom"/>
          </w:tcPr>
          <w:p w14:paraId="37D9FC3B" w14:textId="34BA6763" w:rsidR="00B449DB" w:rsidRPr="000C5945" w:rsidRDefault="00172A09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</w:t>
            </w:r>
            <w:r w:rsidR="00B449DB" w:rsidRPr="00666AB2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121" w:type="dxa"/>
            <w:vAlign w:val="bottom"/>
          </w:tcPr>
          <w:p w14:paraId="79069280" w14:textId="7F716E2A" w:rsidR="00B449DB" w:rsidRPr="000C5945" w:rsidRDefault="00172A09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</w:t>
            </w:r>
            <w:r w:rsidR="00B449DB" w:rsidRPr="00666AB2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388" w:type="dxa"/>
            <w:vAlign w:val="bottom"/>
          </w:tcPr>
          <w:p w14:paraId="40AE22D3" w14:textId="45B4EC1E" w:rsidR="00B449DB" w:rsidRPr="000C5945" w:rsidRDefault="00172A09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</w:t>
            </w:r>
            <w:r w:rsidR="00B449DB" w:rsidRPr="00666AB2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B449DB" w:rsidRPr="0050523C" w14:paraId="78D46434" w14:textId="77777777" w:rsidTr="00B449DB">
        <w:trPr>
          <w:jc w:val="right"/>
        </w:trPr>
        <w:tc>
          <w:tcPr>
            <w:tcW w:w="4891" w:type="dxa"/>
            <w:vAlign w:val="bottom"/>
          </w:tcPr>
          <w:p w14:paraId="5CFDB993" w14:textId="386C4AA0" w:rsidR="00B449DB" w:rsidRPr="0050523C" w:rsidRDefault="00B449DB" w:rsidP="00B449DB">
            <w:pPr>
              <w:spacing w:before="1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677D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1" w:type="dxa"/>
            <w:vAlign w:val="bottom"/>
          </w:tcPr>
          <w:p w14:paraId="0CC518F1" w14:textId="1CF35F68" w:rsidR="00B449DB" w:rsidRPr="000C5945" w:rsidRDefault="00172A09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</w:t>
            </w:r>
            <w:r w:rsidR="00B449DB" w:rsidRPr="00666AB2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121" w:type="dxa"/>
            <w:vAlign w:val="bottom"/>
          </w:tcPr>
          <w:p w14:paraId="005A958B" w14:textId="0295AB3D" w:rsidR="00B449DB" w:rsidRPr="000C5945" w:rsidRDefault="00172A09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</w:t>
            </w:r>
            <w:r w:rsidR="00B449DB" w:rsidRPr="00666AB2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121" w:type="dxa"/>
            <w:vAlign w:val="bottom"/>
          </w:tcPr>
          <w:p w14:paraId="0B629A59" w14:textId="663DE96C" w:rsidR="00B449DB" w:rsidRPr="000C5945" w:rsidRDefault="00172A09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</w:t>
            </w:r>
            <w:r w:rsidR="00B449DB" w:rsidRPr="00666AB2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2388" w:type="dxa"/>
            <w:vAlign w:val="bottom"/>
          </w:tcPr>
          <w:p w14:paraId="433C621D" w14:textId="3B1521C5" w:rsidR="00B449DB" w:rsidRPr="000C5945" w:rsidRDefault="00172A09" w:rsidP="00B44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</w:t>
            </w:r>
            <w:bookmarkStart w:id="0" w:name="_GoBack"/>
            <w:bookmarkEnd w:id="0"/>
            <w:r w:rsidR="00B449DB" w:rsidRPr="00666AB2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</w:tbl>
    <w:p w14:paraId="4BC9B60B" w14:textId="77777777" w:rsidR="00B23C9E" w:rsidRDefault="00B23C9E" w:rsidP="000C5945">
      <w:pPr>
        <w:ind w:right="-23" w:firstLine="567"/>
        <w:jc w:val="both"/>
        <w:rPr>
          <w:rFonts w:ascii="Arial" w:hAnsi="Arial" w:cs="Arial"/>
          <w:color w:val="282A2E"/>
        </w:rPr>
      </w:pPr>
    </w:p>
    <w:p w14:paraId="02F33A30" w14:textId="0D0D3F9F" w:rsidR="00464B00" w:rsidRPr="00464B00" w:rsidRDefault="00464B00" w:rsidP="00464B00">
      <w:pPr>
        <w:pStyle w:val="ab"/>
        <w:ind w:firstLine="567"/>
        <w:jc w:val="both"/>
        <w:rPr>
          <w:rFonts w:ascii="Arial" w:hAnsi="Arial" w:cs="Arial"/>
          <w:bCs/>
          <w:color w:val="282A2E"/>
          <w:sz w:val="22"/>
          <w:szCs w:val="22"/>
          <w:lang w:val="ru-RU"/>
        </w:rPr>
      </w:pPr>
      <w:r w:rsidRPr="00464B00">
        <w:rPr>
          <w:rFonts w:ascii="Arial" w:hAnsi="Arial" w:cs="Arial"/>
          <w:bCs/>
          <w:color w:val="282A2E"/>
          <w:sz w:val="22"/>
          <w:szCs w:val="22"/>
          <w:lang w:val="ru-RU"/>
        </w:rPr>
        <w:t>В октябре 2024 года в обрабатывающих производствах наибольшее увеличение цен по сравнению с предыдущим месяцем наблюдалось в производстве компьютеров, электронных и оптических изделий – на 4,</w:t>
      </w:r>
      <w:r>
        <w:rPr>
          <w:rFonts w:ascii="Arial" w:hAnsi="Arial" w:cs="Arial"/>
          <w:bCs/>
          <w:color w:val="282A2E"/>
          <w:sz w:val="22"/>
          <w:szCs w:val="22"/>
          <w:lang w:val="ru-RU"/>
        </w:rPr>
        <w:t>1%</w:t>
      </w:r>
      <w:r w:rsidRPr="00464B00">
        <w:rPr>
          <w:rFonts w:ascii="Arial" w:hAnsi="Arial" w:cs="Arial"/>
          <w:bCs/>
          <w:color w:val="282A2E"/>
          <w:sz w:val="22"/>
          <w:szCs w:val="22"/>
          <w:lang w:val="ru-RU"/>
        </w:rPr>
        <w:t>; снижение – в производстве химических веществ и химических продуктов – на 1,</w:t>
      </w:r>
      <w:r>
        <w:rPr>
          <w:rFonts w:ascii="Arial" w:hAnsi="Arial" w:cs="Arial"/>
          <w:bCs/>
          <w:color w:val="282A2E"/>
          <w:sz w:val="22"/>
          <w:szCs w:val="22"/>
          <w:lang w:val="ru-RU"/>
        </w:rPr>
        <w:t>4%</w:t>
      </w:r>
      <w:r w:rsidRPr="00464B00">
        <w:rPr>
          <w:rFonts w:ascii="Arial" w:hAnsi="Arial" w:cs="Arial"/>
          <w:bCs/>
          <w:color w:val="282A2E"/>
          <w:sz w:val="22"/>
          <w:szCs w:val="22"/>
          <w:lang w:val="ru-RU"/>
        </w:rPr>
        <w:t>.</w:t>
      </w:r>
    </w:p>
    <w:p w14:paraId="480C023A" w14:textId="504E7999" w:rsidR="00464B00" w:rsidRPr="00464B00" w:rsidRDefault="00464B00" w:rsidP="00464B00">
      <w:pPr>
        <w:pStyle w:val="ab"/>
        <w:ind w:firstLine="567"/>
        <w:jc w:val="both"/>
        <w:rPr>
          <w:rFonts w:ascii="Arial" w:hAnsi="Arial" w:cs="Arial"/>
          <w:bCs/>
          <w:color w:val="282A2E"/>
          <w:sz w:val="22"/>
          <w:szCs w:val="22"/>
          <w:lang w:val="ru-RU"/>
        </w:rPr>
      </w:pPr>
      <w:r w:rsidRPr="00464B00">
        <w:rPr>
          <w:rFonts w:ascii="Arial" w:hAnsi="Arial" w:cs="Arial"/>
          <w:bCs/>
          <w:color w:val="282A2E"/>
          <w:sz w:val="22"/>
          <w:szCs w:val="22"/>
          <w:lang w:val="ru-RU"/>
        </w:rPr>
        <w:t>На уровне сентября цены сохранились по видам деятельности: «Производство напитков», «Производство готовых металлических изделий, кроме машин и оборудования», «Производство машин и оборудования, не включенных в другие группировки», «Производство прочих готовых изделий»,</w:t>
      </w:r>
      <w:r>
        <w:rPr>
          <w:rFonts w:ascii="Arial" w:hAnsi="Arial" w:cs="Arial"/>
          <w:bCs/>
          <w:color w:val="282A2E"/>
          <w:sz w:val="22"/>
          <w:szCs w:val="22"/>
          <w:lang w:val="ru-RU"/>
        </w:rPr>
        <w:t xml:space="preserve"> </w:t>
      </w:r>
      <w:r w:rsidRPr="00464B00">
        <w:rPr>
          <w:rFonts w:ascii="Arial" w:hAnsi="Arial" w:cs="Arial"/>
          <w:bCs/>
          <w:color w:val="282A2E"/>
          <w:sz w:val="22"/>
          <w:szCs w:val="22"/>
          <w:lang w:val="ru-RU"/>
        </w:rPr>
        <w:t>«Ремонт и монтаж машин и оборудования».</w:t>
      </w:r>
    </w:p>
    <w:p w14:paraId="3C96DEEF" w14:textId="77777777" w:rsidR="00464B00" w:rsidRPr="00AE7855" w:rsidRDefault="00464B00" w:rsidP="00691E0C">
      <w:pPr>
        <w:pStyle w:val="ab"/>
        <w:ind w:firstLine="567"/>
        <w:jc w:val="both"/>
        <w:rPr>
          <w:rFonts w:ascii="Arial" w:hAnsi="Arial" w:cs="Arial"/>
          <w:bCs/>
          <w:color w:val="282A2E"/>
          <w:sz w:val="22"/>
          <w:szCs w:val="22"/>
          <w:lang w:val="ru-RU"/>
        </w:rPr>
      </w:pPr>
    </w:p>
    <w:sectPr w:rsidR="00464B00" w:rsidRPr="00AE7855" w:rsidSect="00106349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B942C" w14:textId="77777777" w:rsidR="00BE5122" w:rsidRDefault="00BE5122" w:rsidP="000A4F53">
      <w:pPr>
        <w:spacing w:after="0" w:line="240" w:lineRule="auto"/>
      </w:pPr>
      <w:r>
        <w:separator/>
      </w:r>
    </w:p>
  </w:endnote>
  <w:endnote w:type="continuationSeparator" w:id="0">
    <w:p w14:paraId="2B95BFC1" w14:textId="77777777" w:rsidR="00BE5122" w:rsidRDefault="00BE512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551329D3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331FC3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27491" w14:textId="77777777" w:rsidR="00BE5122" w:rsidRDefault="00BE5122" w:rsidP="000A4F53">
      <w:pPr>
        <w:spacing w:after="0" w:line="240" w:lineRule="auto"/>
      </w:pPr>
      <w:r>
        <w:separator/>
      </w:r>
    </w:p>
  </w:footnote>
  <w:footnote w:type="continuationSeparator" w:id="0">
    <w:p w14:paraId="175FC8B4" w14:textId="77777777" w:rsidR="00BE5122" w:rsidRDefault="00BE512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246DE"/>
    <w:rsid w:val="0003153D"/>
    <w:rsid w:val="000A4F53"/>
    <w:rsid w:val="000C5945"/>
    <w:rsid w:val="00101069"/>
    <w:rsid w:val="00106349"/>
    <w:rsid w:val="00172A09"/>
    <w:rsid w:val="00193489"/>
    <w:rsid w:val="001A067B"/>
    <w:rsid w:val="001D27DA"/>
    <w:rsid w:val="001E4C22"/>
    <w:rsid w:val="001F11DC"/>
    <w:rsid w:val="001F66AB"/>
    <w:rsid w:val="00216178"/>
    <w:rsid w:val="00227166"/>
    <w:rsid w:val="002370CF"/>
    <w:rsid w:val="00240DA0"/>
    <w:rsid w:val="00263E41"/>
    <w:rsid w:val="002A1535"/>
    <w:rsid w:val="002B07D0"/>
    <w:rsid w:val="002D18F1"/>
    <w:rsid w:val="002D799B"/>
    <w:rsid w:val="002E38E3"/>
    <w:rsid w:val="002E4066"/>
    <w:rsid w:val="00313084"/>
    <w:rsid w:val="00331FC3"/>
    <w:rsid w:val="00387135"/>
    <w:rsid w:val="003B1F17"/>
    <w:rsid w:val="003C3163"/>
    <w:rsid w:val="003D505E"/>
    <w:rsid w:val="00401FF7"/>
    <w:rsid w:val="0042187C"/>
    <w:rsid w:val="00442CD1"/>
    <w:rsid w:val="00464B00"/>
    <w:rsid w:val="00477840"/>
    <w:rsid w:val="0050523C"/>
    <w:rsid w:val="00515E78"/>
    <w:rsid w:val="005426A8"/>
    <w:rsid w:val="00572A22"/>
    <w:rsid w:val="005F45B8"/>
    <w:rsid w:val="0065389D"/>
    <w:rsid w:val="006657E2"/>
    <w:rsid w:val="00666AB2"/>
    <w:rsid w:val="00691E0C"/>
    <w:rsid w:val="006D0D8F"/>
    <w:rsid w:val="00701086"/>
    <w:rsid w:val="007238E9"/>
    <w:rsid w:val="0079071A"/>
    <w:rsid w:val="007C2FEB"/>
    <w:rsid w:val="007C5BAA"/>
    <w:rsid w:val="007C72CF"/>
    <w:rsid w:val="00826E1A"/>
    <w:rsid w:val="008415A7"/>
    <w:rsid w:val="0085222E"/>
    <w:rsid w:val="00870592"/>
    <w:rsid w:val="009126BB"/>
    <w:rsid w:val="00921D17"/>
    <w:rsid w:val="0094288E"/>
    <w:rsid w:val="009B0137"/>
    <w:rsid w:val="00A06F52"/>
    <w:rsid w:val="00A106E7"/>
    <w:rsid w:val="00A148E6"/>
    <w:rsid w:val="00A623A9"/>
    <w:rsid w:val="00AA07F9"/>
    <w:rsid w:val="00AE7855"/>
    <w:rsid w:val="00B14E08"/>
    <w:rsid w:val="00B23C9E"/>
    <w:rsid w:val="00B449DB"/>
    <w:rsid w:val="00B4544A"/>
    <w:rsid w:val="00BC1235"/>
    <w:rsid w:val="00BC446A"/>
    <w:rsid w:val="00BD3503"/>
    <w:rsid w:val="00BD56FB"/>
    <w:rsid w:val="00BE5122"/>
    <w:rsid w:val="00BF4C14"/>
    <w:rsid w:val="00CA0225"/>
    <w:rsid w:val="00CA1919"/>
    <w:rsid w:val="00CC5DA8"/>
    <w:rsid w:val="00CF3800"/>
    <w:rsid w:val="00D04954"/>
    <w:rsid w:val="00D06E52"/>
    <w:rsid w:val="00D11FA7"/>
    <w:rsid w:val="00D47288"/>
    <w:rsid w:val="00D55929"/>
    <w:rsid w:val="00DC230D"/>
    <w:rsid w:val="00DC3D74"/>
    <w:rsid w:val="00DD4D2E"/>
    <w:rsid w:val="00DE677D"/>
    <w:rsid w:val="00E45939"/>
    <w:rsid w:val="00E97C28"/>
    <w:rsid w:val="00EF73B3"/>
    <w:rsid w:val="00F35A65"/>
    <w:rsid w:val="00F37CFA"/>
    <w:rsid w:val="00F44E16"/>
    <w:rsid w:val="00F61F31"/>
    <w:rsid w:val="00F71682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DE67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DE67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footnote text"/>
    <w:basedOn w:val="a"/>
    <w:link w:val="ae"/>
    <w:uiPriority w:val="99"/>
    <w:semiHidden/>
    <w:unhideWhenUsed/>
    <w:rsid w:val="00DE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E6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E677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E677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E677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E677D"/>
    <w:rPr>
      <w:vertAlign w:val="superscript"/>
    </w:rPr>
  </w:style>
  <w:style w:type="character" w:styleId="af3">
    <w:name w:val="Placeholder Text"/>
    <w:basedOn w:val="a0"/>
    <w:uiPriority w:val="99"/>
    <w:semiHidden/>
    <w:rsid w:val="00331F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8348-AC24-45FB-9054-E40B915B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Маркелова Ольга Николаевна</cp:lastModifiedBy>
  <cp:revision>42</cp:revision>
  <cp:lastPrinted>2023-09-04T11:35:00Z</cp:lastPrinted>
  <dcterms:created xsi:type="dcterms:W3CDTF">2024-01-25T07:15:00Z</dcterms:created>
  <dcterms:modified xsi:type="dcterms:W3CDTF">2024-11-21T09:03:00Z</dcterms:modified>
</cp:coreProperties>
</file>